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Microsoft YaHei Bold" w:hAnsi="Microsoft YaHei Bold" w:eastAsia="Microsoft YaHei Bold" w:cs="Microsoft YaHei Bold"/>
          <w:b/>
          <w:bCs/>
          <w:sz w:val="32"/>
          <w:szCs w:val="32"/>
        </w:rPr>
      </w:pPr>
      <w:r>
        <w:rPr>
          <w:rFonts w:hint="eastAsia" w:ascii="Microsoft YaHei Bold" w:hAnsi="Microsoft YaHei Bold" w:eastAsia="Microsoft YaHei Bold" w:cs="Microsoft YaHei Bold"/>
          <w:b/>
          <w:bCs/>
          <w:sz w:val="32"/>
          <w:szCs w:val="32"/>
        </w:rPr>
        <w:t>省林业局关于印发《〈湖北省流域综合治理 和统筹发展规划纲要〉林业实施方案》的通知</w:t>
      </w:r>
    </w:p>
    <w:p>
      <w:pPr>
        <w:pStyle w:val="11"/>
        <w:shd w:val="clear" w:color="auto" w:fill="FFFFFF"/>
        <w:spacing w:before="0" w:beforeAutospacing="0" w:after="0" w:afterAutospacing="0" w:line="555" w:lineRule="atLeast"/>
        <w:jc w:val="center"/>
        <w:rPr>
          <w:rFonts w:hint="eastAsia" w:ascii="Microsoft YaHei Regular" w:hAnsi="Microsoft YaHei Regular" w:eastAsia="Microsoft YaHei Regular" w:cs="Microsoft YaHei Regular"/>
          <w:sz w:val="24"/>
        </w:rPr>
      </w:pPr>
      <w:r>
        <w:rPr>
          <w:rFonts w:hint="eastAsia" w:ascii="Microsoft YaHei Regular" w:hAnsi="Microsoft YaHei Regular" w:eastAsia="Microsoft YaHei Regular" w:cs="Microsoft YaHei Regular"/>
          <w:sz w:val="24"/>
        </w:rPr>
        <w:t>鄂林生〔2023〕60号</w:t>
      </w:r>
    </w:p>
    <w:p>
      <w:pPr>
        <w:pStyle w:val="11"/>
        <w:shd w:val="clear" w:color="auto" w:fill="FFFFFF"/>
        <w:spacing w:before="0" w:beforeAutospacing="0" w:after="0" w:afterAutospacing="0" w:line="555" w:lineRule="atLeast"/>
        <w:jc w:val="both"/>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各市、州、县林业主管部门：</w:t>
      </w:r>
    </w:p>
    <w:p>
      <w:pPr>
        <w:pStyle w:val="11"/>
        <w:shd w:val="clear" w:color="auto" w:fill="FFFFFF"/>
        <w:spacing w:before="0" w:beforeAutospacing="0" w:after="0" w:afterAutospacing="0" w:line="555" w:lineRule="atLeast"/>
        <w:ind w:firstLine="645"/>
        <w:jc w:val="both"/>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2023年1月，省委、省政府印发了《湖北省流域综合治理和统筹发展规划纲要》（以下简称《规划纲要》）。为深入贯彻落实党的二十大精神和省委、省政府工作部署，我局组织编制了《〈湖北省流域综合治理和统筹发展规划纲要〉林业实施方案》（以下简称《实施方案》），现就有关事项通知如下：</w:t>
      </w:r>
    </w:p>
    <w:p>
      <w:pPr>
        <w:pStyle w:val="11"/>
        <w:shd w:val="clear" w:color="auto" w:fill="FFFFFF"/>
        <w:spacing w:before="0" w:beforeAutospacing="0" w:after="0" w:afterAutospacing="0" w:line="555" w:lineRule="atLeast"/>
        <w:ind w:firstLine="645"/>
        <w:jc w:val="both"/>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一、充分发挥林业在流域综合治理和统筹发展中的基础作用</w:t>
      </w:r>
    </w:p>
    <w:p>
      <w:pPr>
        <w:pStyle w:val="11"/>
        <w:shd w:val="clear" w:color="auto" w:fill="FFFFFF"/>
        <w:spacing w:before="0" w:beforeAutospacing="0" w:after="0" w:afterAutospacing="0" w:line="555" w:lineRule="atLeast"/>
        <w:ind w:firstLine="645"/>
        <w:jc w:val="both"/>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规划纲要》以流域综合治理为基础，统筹推进山水林田湖草系统治理，统筹推进四化同步发展，充分彰显了系统观念和全局思维，是落实党中央决策部署的生动实践，是湖北建设全国构建新发展格局先行区的行动纲领。</w:t>
      </w:r>
    </w:p>
    <w:p>
      <w:pPr>
        <w:pStyle w:val="11"/>
        <w:shd w:val="clear" w:color="auto" w:fill="FFFFFF"/>
        <w:spacing w:before="0" w:beforeAutospacing="0" w:after="0" w:afterAutospacing="0" w:line="555" w:lineRule="atLeast"/>
        <w:ind w:firstLine="645"/>
        <w:jc w:val="both"/>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水的命脉在山，山的命脉在土，土的命脉在树”，林业在推进流域综合治理和统筹发展事业中有不可替代的责任和作用。在推进流域综合治理和统筹发展过程中，必须坚持山水共治，做到依水兴林、以林治水，充分发挥林业涵养水源、净化水质、调节气候、维护生物多样性等多种生态功能，充分发挥林业提供绿色产品、调整产业结构、促进增收致富等多种经济功能，充分发挥林业美化环境、游憩康养、促进就业等多重社会功能，推动构建江河安澜、山川灵秀、协调有序、美丽宜居的国土空间格局和绿色低碳循环发展的经济体系，实现高质量发展。</w:t>
      </w:r>
    </w:p>
    <w:p>
      <w:pPr>
        <w:pStyle w:val="11"/>
        <w:shd w:val="clear" w:color="auto" w:fill="FFFFFF"/>
        <w:spacing w:before="0" w:beforeAutospacing="0" w:after="0" w:afterAutospacing="0" w:line="555" w:lineRule="atLeast"/>
        <w:ind w:firstLine="645"/>
        <w:jc w:val="both"/>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二、准确把握林业推进流域综合治理和统筹发展的任务要求</w:t>
      </w:r>
    </w:p>
    <w:p>
      <w:pPr>
        <w:pStyle w:val="11"/>
        <w:shd w:val="clear" w:color="auto" w:fill="FFFFFF"/>
        <w:spacing w:before="0" w:beforeAutospacing="0" w:after="0" w:afterAutospacing="0" w:line="555" w:lineRule="atLeast"/>
        <w:ind w:firstLine="645"/>
        <w:jc w:val="both"/>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1.守住生态安全底线。要明确并守住各流域林业生态安全底线，分区分类建立林业生态安全管控负面清单，强化刚性约束，落实管控措施，严格管控国家级公益林地，加强自然保护地分区管控，加强重要湿地保护管理，守护“三江四屏千湖一平原”的自然生态格局，夯实流域生态安全。</w:t>
      </w:r>
    </w:p>
    <w:p>
      <w:pPr>
        <w:pStyle w:val="11"/>
        <w:shd w:val="clear" w:color="auto" w:fill="FFFFFF"/>
        <w:spacing w:before="0" w:beforeAutospacing="0" w:after="0" w:afterAutospacing="0" w:line="555" w:lineRule="atLeast"/>
        <w:ind w:firstLine="645"/>
        <w:jc w:val="both"/>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2.推进流域综合治理。要从流域整体性和生态系统性考虑，打破过去条块分割、单一要素的治理模式，以流域为基本单元，聚焦流域内林地、草原、湿地等林业资源，统筹推进山水林田湖草系统治理；聚焦重难点区域，加强区域和部门之间协同配合，统筹开展上下游、左右岸、干支流综合治理，着力打造布局合理、系统完整的林业生态体系。</w:t>
      </w:r>
    </w:p>
    <w:p>
      <w:pPr>
        <w:pStyle w:val="11"/>
        <w:shd w:val="clear" w:color="auto" w:fill="FFFFFF"/>
        <w:spacing w:before="0" w:beforeAutospacing="0" w:after="0" w:afterAutospacing="0" w:line="555" w:lineRule="atLeast"/>
        <w:ind w:firstLine="645"/>
        <w:jc w:val="both"/>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3.助力社会经济发展。要按照“森林是水库、钱库、粮库、碳库”的功能定位，科学开展林业资源多功能、可持续的经营和利用。要依法依规加强林地要素保障，增加林业资源供给，加快林业特色产业发展，助力地方经济发展，服务四化同步发展大局。</w:t>
      </w:r>
    </w:p>
    <w:p>
      <w:pPr>
        <w:pStyle w:val="11"/>
        <w:shd w:val="clear" w:color="auto" w:fill="FFFFFF"/>
        <w:spacing w:before="0" w:beforeAutospacing="0" w:after="0" w:afterAutospacing="0" w:line="555" w:lineRule="atLeast"/>
        <w:ind w:firstLine="645"/>
        <w:jc w:val="both"/>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4.加强现代林业建设。要聚焦流域综合治理的重要领域和关键技术，着力推进林业治理能力现代化，加大关键技术、先进装备科技攻关及推广应用，建设全省智慧林业综合平台，建立林草生态网络感知系统平台，全面提升流域综合治理数据化、智能化、机械化和一体化水平，全面提高流域综合治理的工作效能。</w:t>
      </w:r>
    </w:p>
    <w:p>
      <w:pPr>
        <w:pStyle w:val="11"/>
        <w:shd w:val="clear" w:color="auto" w:fill="FFFFFF"/>
        <w:spacing w:before="0" w:beforeAutospacing="0" w:after="0" w:afterAutospacing="0" w:line="555" w:lineRule="atLeast"/>
        <w:ind w:firstLine="645"/>
        <w:jc w:val="both"/>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三、采取切实措施将流域综合治理和统筹发展林业实施方案落到实处</w:t>
      </w:r>
    </w:p>
    <w:p>
      <w:pPr>
        <w:pStyle w:val="11"/>
        <w:shd w:val="clear" w:color="auto" w:fill="FFFFFF"/>
        <w:spacing w:before="0" w:beforeAutospacing="0" w:after="0" w:afterAutospacing="0" w:line="555" w:lineRule="atLeast"/>
        <w:ind w:firstLine="645"/>
        <w:jc w:val="both"/>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1.细化实施方案。各市州要对照《规划纲要》和《实施方案》科学制定《实施方案》，坚持因地制宜，突出亮点特色，研究制定符合本地实际、操作性强的措施，在本地区开展流域综合治理中作出林业贡献。</w:t>
      </w:r>
    </w:p>
    <w:p>
      <w:pPr>
        <w:pStyle w:val="11"/>
        <w:shd w:val="clear" w:color="auto" w:fill="FFFFFF"/>
        <w:spacing w:before="0" w:beforeAutospacing="0" w:after="0" w:afterAutospacing="0" w:line="555" w:lineRule="atLeast"/>
        <w:ind w:firstLine="645"/>
        <w:jc w:val="both"/>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2.精心组织实施。各地要扎实推进流域林业综合治理，实行项目责任清单化管理，做到责任到位、措施有力、重点突出。要突出重点区域，着力解决好影响流域安全和区域发展的“卡脖子”问题；突出重点环节，严格开展事前指导、事中检查、事后验收，确保完成各项建设任务。同时，要积极开展流域综合治理林业示范工程建设，探索典型经验模式，发挥示范带动作用。</w:t>
      </w:r>
    </w:p>
    <w:p>
      <w:pPr>
        <w:pStyle w:val="11"/>
        <w:shd w:val="clear" w:color="auto" w:fill="FFFFFF"/>
        <w:spacing w:before="0" w:beforeAutospacing="0" w:after="0" w:afterAutospacing="0" w:line="555" w:lineRule="atLeast"/>
        <w:ind w:firstLine="645"/>
        <w:jc w:val="both"/>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3.强化资金保障。要强化工程项目的支撑作用，围绕地方流域综合治理建设需要，合理规划并积极争取中央和省级工程项目，强化资金管理，提高使用效率，确保“好钢用在刀刃上”。要充分发挥好财政资金的撬动作用，加大招商引资力度，创新投融资机制，拓宽筹资渠道，广泛吸纳社会资本参与林业生态建设。</w:t>
      </w:r>
    </w:p>
    <w:p>
      <w:pPr>
        <w:pStyle w:val="11"/>
        <w:shd w:val="clear" w:color="auto" w:fill="FFFFFF"/>
        <w:spacing w:before="0" w:beforeAutospacing="0" w:after="0" w:afterAutospacing="0" w:line="555" w:lineRule="atLeast"/>
        <w:ind w:firstLine="645"/>
        <w:jc w:val="both"/>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4.切实加强领导。省林业局成立林业助推流域综合治理和统筹发展领导小组，统筹协调工作推进中的重大问题；领导小组办公室设在生态保护修复处。各市、县也要成立领导小组和工作专班，加强统筹协调，推进任务落实。省林业局将建立考核评估机制，将《实施方案》落实情况纳入林长制考核内容，奖优罚劣，推进工作开展，确保省委、省政府的部署在林业系统落地见效，推动林业事业高质量发展。</w:t>
      </w:r>
    </w:p>
    <w:p>
      <w:pPr>
        <w:pStyle w:val="11"/>
        <w:shd w:val="clear" w:color="auto" w:fill="FFFFFF"/>
        <w:spacing w:before="0" w:beforeAutospacing="0" w:after="0" w:afterAutospacing="0" w:line="555" w:lineRule="atLeast"/>
        <w:ind w:firstLine="645"/>
        <w:jc w:val="both"/>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附件：《湖北省流域综合治理和统筹发展规划纲要》林业实施方案</w:t>
      </w:r>
      <w:bookmarkStart w:id="0" w:name="_GoBack"/>
      <w:bookmarkEnd w:id="0"/>
    </w:p>
    <w:p>
      <w:pPr>
        <w:pStyle w:val="11"/>
        <w:shd w:val="clear" w:color="auto" w:fill="FFFFFF"/>
        <w:spacing w:before="0" w:beforeAutospacing="0" w:after="0" w:afterAutospacing="0" w:line="555" w:lineRule="atLeast"/>
        <w:jc w:val="right"/>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湖北省林业局</w:t>
      </w:r>
    </w:p>
    <w:p>
      <w:pPr>
        <w:pStyle w:val="11"/>
        <w:shd w:val="clear" w:color="auto" w:fill="FFFFFF"/>
        <w:spacing w:before="0" w:beforeAutospacing="0" w:after="0" w:afterAutospacing="0" w:line="555" w:lineRule="atLeast"/>
        <w:jc w:val="right"/>
        <w:rPr>
          <w:rFonts w:hint="eastAsia" w:ascii="仿宋_GB2312" w:hAnsi="Calibri" w:eastAsia="仿宋_GB2312" w:cs="Calibri"/>
          <w:color w:val="333333"/>
          <w:sz w:val="32"/>
          <w:szCs w:val="32"/>
        </w:rPr>
      </w:pPr>
      <w:r>
        <w:rPr>
          <w:rFonts w:hint="eastAsia" w:ascii="仿宋_GB2312" w:hAnsi="Calibri" w:eastAsia="仿宋_GB2312" w:cs="Calibri"/>
          <w:color w:val="333333"/>
          <w:sz w:val="32"/>
          <w:szCs w:val="32"/>
        </w:rPr>
        <w:t>2023年5月25日</w:t>
      </w:r>
    </w:p>
    <w:sectPr>
      <w:headerReference r:id="rId3" w:type="default"/>
      <w:footerReference r:id="rId4" w:type="default"/>
      <w:pgSz w:w="11906" w:h="16838"/>
      <w:pgMar w:top="2120" w:right="1519" w:bottom="1894" w:left="1519" w:header="851" w:footer="992" w:gutter="0"/>
      <w:cols w:space="72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DejaVu Sans">
    <w:altName w:val="Ebrima"/>
    <w:panose1 w:val="00000000000000000000"/>
    <w:charset w:val="00"/>
    <w:family w:val="roman"/>
    <w:pitch w:val="default"/>
    <w:sig w:usb0="00000000" w:usb1="00000000" w:usb2="00000008" w:usb3="00000000" w:csb0="000001FF" w:csb1="00000000"/>
  </w:font>
  <w:font w:name="楷体">
    <w:panose1 w:val="02010609060101010101"/>
    <w:charset w:val="86"/>
    <w:family w:val="modern"/>
    <w:pitch w:val="default"/>
    <w:sig w:usb0="800002BF" w:usb1="38CF7CFA" w:usb2="00000016" w:usb3="00000000" w:csb0="00040001" w:csb1="00000000"/>
  </w:font>
  <w:font w:name="Microsoft YaHei Bold">
    <w:altName w:val="微软雅黑"/>
    <w:panose1 w:val="00000000000000000000"/>
    <w:charset w:val="86"/>
    <w:family w:val="auto"/>
    <w:pitch w:val="default"/>
    <w:sig w:usb0="00000000" w:usb1="00000000" w:usb2="00000016" w:usb3="00000000" w:csb0="0004001F" w:csb1="00000000"/>
  </w:font>
  <w:font w:name="Microsoft YaHei Regular">
    <w:altName w:val="微软雅黑"/>
    <w:panose1 w:val="00000000000000000000"/>
    <w:charset w:val="86"/>
    <w:family w:val="auto"/>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Ebrima">
    <w:panose1 w:val="02000000000000000000"/>
    <w:charset w:val="00"/>
    <w:family w:val="auto"/>
    <w:pitch w:val="default"/>
    <w:sig w:usb0="A000505F" w:usb1="02000041" w:usb2="00000800" w:usb3="00000404"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560"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posOffset>5179060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07.8pt;margin-top:0pt;height:144pt;width:144pt;mso-position-horizontal-relative:margin;mso-wrap-style:none;z-index:251661312;mso-width-relative:page;mso-height-relative:page;" filled="f" stroked="f" coordsize="21600,21600" o:gfxdata="UEsDBAoAAAAAAIdO4kAAAAAAAAAAAAAAAAAEAAAAZHJzL1BLAwQUAAAACACHTuJAx4DhT9UAAAAJ&#10;AQAADwAAAGRycy9kb3ducmV2LnhtbE2PwU7DMBBE70j8g7VI3KidFqooxKlERTgi0XDg6MZLEojX&#10;ke2m4e/ZnuA4mtHMm3K3uFHMGOLgSUO2UiCQWm8H6jS8N/VdDiImQ9aMnlDDD0bYVddXpSmsP9Mb&#10;zofUCS6hWBgNfUpTIWVse3QmrvyExN6nD84klqGTNpgzl7tRrpXaSmcG4oXeTLjvsf0+nJyGfd00&#10;YcYYxg98qTdfr0/3+LxofXuTqUcQCZf0F4YLPqNDxUxHfyIbxaghzx62HNXAjy52pjasjxrWea5A&#10;VqX8/6D6BVBLAwQUAAAACACHTuJActDybSsCAABVBAAADgAAAGRycy9lMm9Eb2MueG1srVTNjtMw&#10;EL4j8Q6W7zRtEauqaroqWxUhVexKBXF2HaeJ5D/ZbpPyAPAGnLhw57n6HHx2ki5aOOyBizP2jL/x&#10;981MFretkuQknK+NzulkNKZEaG6KWh9y+unj5tWMEh+YLpg0WuT0LDy9Xb58sWjsXExNZWQhHAGI&#10;9vPG5rQKwc6zzPNKKOZHxgoNZ2mcYgFbd8gKxxqgK5lNx+ObrDGusM5w4T1O152T9ojuOYCmLGsu&#10;1oYfldChQ3VCsgBKvqqtp8v02rIUPNyXpReByJyCaUgrksDexzVbLtj84Jitat4/gT3nCU84KVZr&#10;JL1CrVlg5Ojqv6BUzZ3xpgwjblTWEUmKgMVk/ESbXcWsSFwgtbdX0f3/g+UfTg+O1EVOUXbNFAp+&#10;+f7t8uPX5edXMovyNNbPEbWziAvtW9OiaYZzj8PIui2dil/wIfBD3PNVXNEGwuOl2XQ2G8PF4Rs2&#10;wM8er1vnwzthFIlGTh2ql0Rlp60PXegQErNps6mlTBWUmjQ5vXn9ZpwuXD0Alxo5IonusdEK7b7t&#10;me1NcQYxZ7rO8JZvaiTfMh8emEMr4MEYlnCPpZQGSUxvUVIZ9+Vf5zEeFYKXkgatlVONSaJEvteo&#10;HADDYLjB2A+GPqo7g16dYAgtTyYuuCAHs3RGfcYErWIOuJjmyJTTMJh3oWtvTCAXq1UKQq9ZFrZ6&#10;Z3mEjuJ5uzoGCJh0jaJ0SvRaodtSZfrJiO385z5FPf4N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x4DhT9UAAAAJAQAADwAAAAAAAAABACAAAAAiAAAAZHJzL2Rvd25yZXYueG1sUEsBAhQAFAAA&#10;AAgAh07iQHLQ8m0rAgAAVQQAAA4AAAAAAAAAAQAgAAAAJAEAAGRycy9lMm9Eb2MueG1sUEsFBgAA&#10;AAAGAAYAWQEAAME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4560" w:leftChars="2280" w:firstLine="6400" w:firstLineChars="2000"/>
      <w:jc w:val="right"/>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302895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23.85pt;height:0.15pt;width:442.25pt;z-index:251660288;mso-width-relative:page;mso-height-relative:page;" filled="f" stroked="t" coordsize="21600,21600" o:gfxdata="UEsDBAoAAAAAAIdO4kAAAAAAAAAAAAAAAAAEAAAAZHJzL1BLAwQUAAAACACHTuJAPtxy1dUAAAAI&#10;AQAADwAAAGRycy9kb3ducmV2LnhtbE2PzU7DMBCE70i8g7VI3Fo7pqJRiFOJSJyAAy3c3diNo/pP&#10;tpuUt2c5wXF2RjPftrurs2TWKU/BC6jWDIj2Q1CTHwV8Hl5WNZBcpFfSBq8FfOsMu+72ppWNCov/&#10;0PO+jARLfG6kAFNKbCjNg9FO5nWI2qN3CsnJgjKNVCW5YLmzlDP2SJ2cPC4YGXVv9HDeX5yA/jXy&#10;3rwflsSf89s4P9h4On8JcX9XsScgRV/LXxh+8REdOmQ6hotXmVgBK15hUsBmuwWCfl3zDZAjHmoG&#10;tGvp/we6H1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txy1dUA&#10;AAAI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湖北省林业局发布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335280</wp:posOffset>
              </wp:positionV>
              <wp:extent cx="5616575" cy="190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26.4pt;height:0.15pt;width:442.25pt;z-index:251659264;mso-width-relative:page;mso-height-relative:page;" filled="f" stroked="t" coordsize="21600,21600" o:gfxdata="UEsDBAoAAAAAAIdO4kAAAAAAAAAAAAAAAAAEAAAAZHJzL1BLAwQUAAAACACHTuJAVVM5k9IAAAAG&#10;AQAADwAAAGRycy9kb3ducmV2LnhtbE2OO0/DMBSFdyT+g3WR2KiTlKIQ4lQiEhMw0MLuxrdxVL9k&#10;u0n591wmGM9D53zt9mINmzGmyTsB5aoAhm7wanKjgM/9y10NLGXplDTeoYBvTLDtrq9a2Si/uA+c&#10;d3lkNOJSIwXonEPDeRo0WplWPqCj7OijlZlkHLmKcqFxa3hVFA/cysnRg5YBe43DaXe2AvrXUPX6&#10;fb/E6jm9jfPahOPpS4jbm7J4Apbxkv/K8ItP6NAR08GfnUrMCHiknoBNRfyU1vXmHtiBjHUJvGv5&#10;f/zuB1BLAwQUAAAACACHTuJAikjIzuoBAAC3AwAADgAAAGRycy9lMm9Eb2MueG1srVPNjtMwEL4j&#10;8Q6W7zRppZbdqOketlouCCoBDzB1nMSS/+TxNu1L8AJI3ODEkTtvw+5jMHZCF5bLHsjBGc/P5/k+&#10;j9dXR6PZQQZUztZ8Pis5k1a4Rtmu5h/e37y44Awj2Aa0s7LmJ4n8avP82XrwlVy43ulGBkYgFqvB&#10;17yP0VdFgaKXBnDmvLQUbF0wEGkbuqIJMBC60cWiLFfF4ELjgxMSkbzbMcgnxPAUQNe2SsitE7dG&#10;2jiiBqkhEiXslUe+yd22rRTxbduijEzXnJjGvNIhZO/TWmzWUHUBfK/E1AI8pYVHnAwoS4eeobYQ&#10;gd0G9Q+UUSI4dG2cCWeKkUhWhFjMy0favOvBy8yFpEZ/Fh3/H6x4c9gFphqaBJLEgqEbv/v0/efH&#10;L/c/PtN69+0rowjJNHisKPva7sK0Q78LifOxDSb9iQ07ZmlPZ2nlMTJBzuVqvlq+XHImKDa/LJcJ&#10;snio9QHjK+kMS0bNtbKJOFRweI1xTP2dktzW3SityQ+Vtmyo+YK+hA40kS1NApnGEyu0HWegOxp1&#10;EUOGRKdVk8pTNYZuf60DO0AakHI5v1xMnf2Vls7eAvZjXg6lNKiMivQatDI1vyjTN1VrS/SSZKNI&#10;ydq75pS1y366zyzANHtpYP7c5+qH97b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VTOZPSAAAA&#10;BgEAAA8AAAAAAAAAAQAgAAAAIgAAAGRycy9kb3ducmV2LnhtbFBLAQIUABQAAAAIAIdO4kCKSMjO&#10;6gEAALcDAAAOAAAAAAAAAAEAIAAAACE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湖北省林业局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874DE"/>
    <w:multiLevelType w:val="multilevel"/>
    <w:tmpl w:val="FBF874DE"/>
    <w:lvl w:ilvl="0" w:tentative="0">
      <w:start w:val="3"/>
      <w:numFmt w:val="chineseCounting"/>
      <w:suff w:val="nothing"/>
      <w:lvlText w:val="    %1、"/>
      <w:lvlJc w:val="left"/>
      <w:pPr>
        <w:tabs>
          <w:tab w:val="left" w:pos="0"/>
        </w:tabs>
        <w:ind w:left="0" w:firstLine="0"/>
      </w:pPr>
      <w:rPr>
        <w:rFonts w:hint="eastAsia" w:ascii="宋体" w:hAnsi="宋体" w:eastAsia="黑体" w:cs="宋体"/>
      </w:rPr>
    </w:lvl>
    <w:lvl w:ilvl="1" w:tentative="0">
      <w:start w:val="1"/>
      <w:numFmt w:val="chineseCounting"/>
      <w:suff w:val="nothing"/>
      <w:lvlText w:val="    （%2）"/>
      <w:lvlJc w:val="left"/>
      <w:pPr>
        <w:tabs>
          <w:tab w:val="left" w:pos="0"/>
        </w:tabs>
        <w:ind w:left="0" w:firstLine="0"/>
      </w:pPr>
      <w:rPr>
        <w:rFonts w:hint="eastAsia" w:ascii="宋体" w:hAnsi="宋体" w:eastAsia="宋体" w:cs="宋体"/>
      </w:rPr>
    </w:lvl>
    <w:lvl w:ilvl="2" w:tentative="0">
      <w:start w:val="1"/>
      <w:numFmt w:val="decimal"/>
      <w:suff w:val="nothing"/>
      <w:lvlText w:val="  %3．"/>
      <w:lvlJc w:val="left"/>
      <w:pPr>
        <w:tabs>
          <w:tab w:val="left" w:pos="0"/>
        </w:tabs>
        <w:ind w:left="0" w:firstLine="400"/>
      </w:pPr>
      <w:rPr>
        <w:rFonts w:hint="eastAsia" w:ascii="宋体" w:hAnsi="宋体" w:eastAsia="宋体" w:cs="宋体"/>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7BB6E20B"/>
    <w:rsid w:val="00061DD4"/>
    <w:rsid w:val="00084226"/>
    <w:rsid w:val="000954BE"/>
    <w:rsid w:val="000E414C"/>
    <w:rsid w:val="00103C90"/>
    <w:rsid w:val="00137CFF"/>
    <w:rsid w:val="00142E64"/>
    <w:rsid w:val="004F68D3"/>
    <w:rsid w:val="0061758C"/>
    <w:rsid w:val="00694136"/>
    <w:rsid w:val="006E46B4"/>
    <w:rsid w:val="007B3903"/>
    <w:rsid w:val="007C40C5"/>
    <w:rsid w:val="00854325"/>
    <w:rsid w:val="00885162"/>
    <w:rsid w:val="008F47DF"/>
    <w:rsid w:val="009663C2"/>
    <w:rsid w:val="00AA7E04"/>
    <w:rsid w:val="00AE2FF8"/>
    <w:rsid w:val="00B55B66"/>
    <w:rsid w:val="00D00194"/>
    <w:rsid w:val="00F111F8"/>
    <w:rsid w:val="00F679D4"/>
    <w:rsid w:val="00F7566B"/>
    <w:rsid w:val="00FD4E76"/>
    <w:rsid w:val="00FF02E8"/>
    <w:rsid w:val="00FF14DC"/>
    <w:rsid w:val="09A45EF6"/>
    <w:rsid w:val="1EDE3BBD"/>
    <w:rsid w:val="20E029BA"/>
    <w:rsid w:val="23FC33CA"/>
    <w:rsid w:val="2A297180"/>
    <w:rsid w:val="2C365663"/>
    <w:rsid w:val="3CE76B15"/>
    <w:rsid w:val="3D8449A1"/>
    <w:rsid w:val="3EA6ADFA"/>
    <w:rsid w:val="411C10A4"/>
    <w:rsid w:val="51C40673"/>
    <w:rsid w:val="55EFE6F9"/>
    <w:rsid w:val="5C871960"/>
    <w:rsid w:val="5CFE033F"/>
    <w:rsid w:val="5F3FE24C"/>
    <w:rsid w:val="5F9F0B66"/>
    <w:rsid w:val="5FFBA3C9"/>
    <w:rsid w:val="673EED7E"/>
    <w:rsid w:val="73FFB612"/>
    <w:rsid w:val="753F0BD2"/>
    <w:rsid w:val="777F391C"/>
    <w:rsid w:val="79F4CA0D"/>
    <w:rsid w:val="7BA479E1"/>
    <w:rsid w:val="7BB6E20B"/>
    <w:rsid w:val="7D2F5A30"/>
    <w:rsid w:val="7D5CB4FD"/>
    <w:rsid w:val="7E3367A1"/>
    <w:rsid w:val="7E3F6382"/>
    <w:rsid w:val="7F2EF4A0"/>
    <w:rsid w:val="99FF8081"/>
    <w:rsid w:val="9FFEE214"/>
    <w:rsid w:val="AC5AA4AE"/>
    <w:rsid w:val="BBB71739"/>
    <w:rsid w:val="BFFF21CF"/>
    <w:rsid w:val="C63DF995"/>
    <w:rsid w:val="CDE98F25"/>
    <w:rsid w:val="D9E7A1AA"/>
    <w:rsid w:val="DF53E2A1"/>
    <w:rsid w:val="E9AD9C8C"/>
    <w:rsid w:val="EC59EED5"/>
    <w:rsid w:val="EDD312E6"/>
    <w:rsid w:val="EE770AEB"/>
    <w:rsid w:val="F0766DB6"/>
    <w:rsid w:val="F7EFD70E"/>
    <w:rsid w:val="FAFE026A"/>
    <w:rsid w:val="FEFF7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宋体" w:cs="Times New Roman"/>
      <w:lang w:val="en-US" w:eastAsia="zh-CN" w:bidi="ar-SA"/>
    </w:rPr>
  </w:style>
  <w:style w:type="paragraph" w:styleId="2">
    <w:name w:val="heading 1"/>
    <w:basedOn w:val="1"/>
    <w:next w:val="1"/>
    <w:link w:val="17"/>
    <w:uiPriority w:val="0"/>
    <w:pPr>
      <w:tabs>
        <w:tab w:val="left" w:pos="403"/>
      </w:tabs>
      <w:spacing w:before="480"/>
    </w:pPr>
    <w:rPr>
      <w:b/>
      <w:color w:val="345A8A"/>
      <w:sz w:val="32"/>
    </w:rPr>
  </w:style>
  <w:style w:type="paragraph" w:styleId="3">
    <w:name w:val="heading 2"/>
    <w:basedOn w:val="1"/>
    <w:next w:val="1"/>
    <w:link w:val="18"/>
    <w:uiPriority w:val="0"/>
    <w:pPr>
      <w:spacing w:before="200"/>
    </w:pPr>
    <w:rPr>
      <w:b/>
      <w:color w:val="4F81BD"/>
      <w:sz w:val="26"/>
    </w:rPr>
  </w:style>
  <w:style w:type="paragraph" w:styleId="4">
    <w:name w:val="heading 3"/>
    <w:basedOn w:val="3"/>
    <w:next w:val="1"/>
    <w:link w:val="19"/>
    <w:uiPriority w:val="0"/>
    <w:pPr>
      <w:spacing w:before="200"/>
    </w:pPr>
    <w:rPr>
      <w:color w:val="4F81BD"/>
      <w:sz w:val="24"/>
    </w:rPr>
  </w:style>
  <w:style w:type="paragraph" w:styleId="5">
    <w:name w:val="heading 4"/>
    <w:basedOn w:val="1"/>
    <w:next w:val="1"/>
    <w:link w:val="20"/>
    <w:qFormat/>
    <w:uiPriority w:val="0"/>
    <w:pPr>
      <w:keepNext/>
      <w:keepLines/>
      <w:numPr>
        <w:ilvl w:val="3"/>
        <w:numId w:val="1"/>
      </w:numPr>
      <w:spacing w:before="50" w:beforeLines="50" w:after="50" w:afterLines="50" w:line="360" w:lineRule="auto"/>
      <w:jc w:val="left"/>
      <w:outlineLvl w:val="3"/>
    </w:pPr>
    <w:rPr>
      <w:rFonts w:ascii="Times New Roman" w:hAnsi="Times New Roman" w:eastAsia="仿宋_GB2312" w:cs="Times New Roman"/>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1"/>
    <w:qFormat/>
    <w:uiPriority w:val="0"/>
    <w:pPr>
      <w:spacing w:before="60" w:after="60" w:line="360" w:lineRule="auto"/>
      <w:ind w:firstLine="200"/>
      <w:jc w:val="left"/>
    </w:pPr>
    <w:rPr>
      <w:rFonts w:ascii="Times New Roman" w:hAnsi="Times New Roman" w:eastAsia="仿宋_GB2312" w:cs="Times New Roman"/>
    </w:rPr>
  </w:style>
  <w:style w:type="paragraph" w:styleId="7">
    <w:name w:val="Date"/>
    <w:basedOn w:val="1"/>
    <w:next w:val="1"/>
    <w:link w:val="16"/>
    <w:qFormat/>
    <w:uiPriority w:val="0"/>
    <w:pPr>
      <w:ind w:left="100"/>
    </w:pPr>
  </w:style>
  <w:style w:type="paragraph" w:styleId="8">
    <w:name w:val="footer"/>
    <w:basedOn w:val="1"/>
    <w:link w:val="22"/>
    <w:qFormat/>
    <w:uiPriority w:val="0"/>
    <w:pPr>
      <w:tabs>
        <w:tab w:val="center" w:pos="4153"/>
        <w:tab w:val="right" w:pos="8306"/>
      </w:tabs>
      <w:snapToGrid w:val="0"/>
      <w:jc w:val="left"/>
    </w:pPr>
    <w:rPr>
      <w:sz w:val="18"/>
    </w:rPr>
  </w:style>
  <w:style w:type="paragraph" w:styleId="9">
    <w:name w:val="header"/>
    <w:basedOn w:val="1"/>
    <w:link w:val="26"/>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10">
    <w:name w:val="Subtitle"/>
    <w:basedOn w:val="1"/>
    <w:uiPriority w:val="0"/>
    <w:rPr>
      <w:i/>
      <w:color w:val="4F81BD"/>
      <w:sz w:val="24"/>
    </w:rPr>
  </w:style>
  <w:style w:type="paragraph" w:styleId="11">
    <w:name w:val="Normal (Web)"/>
    <w:basedOn w:val="1"/>
    <w:uiPriority w:val="99"/>
    <w:pPr>
      <w:widowControl/>
      <w:spacing w:before="100" w:beforeAutospacing="1" w:after="100" w:afterAutospacing="1"/>
      <w:jc w:val="left"/>
    </w:pPr>
    <w:rPr>
      <w:rFonts w:ascii="宋体" w:hAnsi="宋体" w:eastAsia="宋体" w:cs="宋体"/>
      <w:kern w:val="0"/>
      <w:sz w:val="24"/>
    </w:rPr>
  </w:style>
  <w:style w:type="paragraph" w:styleId="12">
    <w:name w:val="Title"/>
    <w:basedOn w:val="1"/>
    <w:uiPriority w:val="0"/>
    <w:pPr>
      <w:spacing w:after="300"/>
    </w:pPr>
    <w:rPr>
      <w:color w:val="17365D"/>
      <w:sz w:val="52"/>
    </w:rPr>
  </w:style>
  <w:style w:type="table" w:styleId="14">
    <w:name w:val="Table Grid"/>
    <w:basedOn w:val="13"/>
    <w:qFormat/>
    <w:uiPriority w:val="0"/>
    <w:rPr>
      <w:rFonts w:ascii="宋体" w:hAnsi="Calibri"/>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6">
    <w:name w:val="日期 字符"/>
    <w:basedOn w:val="15"/>
    <w:link w:val="7"/>
    <w:qFormat/>
    <w:uiPriority w:val="0"/>
    <w:rPr>
      <w:rFonts w:ascii="Calibri" w:hAnsiTheme="minorHAnsi" w:eastAsiaTheme="minorEastAsia" w:cstheme="minorBidi"/>
      <w:kern w:val="2"/>
      <w:sz w:val="21"/>
      <w:szCs w:val="24"/>
    </w:rPr>
  </w:style>
  <w:style w:type="character" w:customStyle="1" w:styleId="17">
    <w:name w:val="标题 1 字符"/>
    <w:basedOn w:val="15"/>
    <w:link w:val="2"/>
    <w:uiPriority w:val="0"/>
    <w:rPr>
      <w:rFonts w:eastAsia="黑体"/>
      <w:kern w:val="44"/>
      <w:sz w:val="28"/>
    </w:rPr>
  </w:style>
  <w:style w:type="character" w:customStyle="1" w:styleId="18">
    <w:name w:val="标题 2 字符"/>
    <w:basedOn w:val="15"/>
    <w:link w:val="3"/>
    <w:qFormat/>
    <w:uiPriority w:val="0"/>
    <w:rPr>
      <w:rFonts w:eastAsia="楷体"/>
      <w:b/>
      <w:sz w:val="21"/>
    </w:rPr>
  </w:style>
  <w:style w:type="character" w:customStyle="1" w:styleId="19">
    <w:name w:val="标题 3 字符"/>
    <w:basedOn w:val="15"/>
    <w:link w:val="4"/>
    <w:uiPriority w:val="0"/>
    <w:rPr>
      <w:rFonts w:eastAsia="仿宋_GB2312"/>
      <w:b/>
      <w:sz w:val="21"/>
    </w:rPr>
  </w:style>
  <w:style w:type="character" w:customStyle="1" w:styleId="20">
    <w:name w:val="标题 4 字符"/>
    <w:basedOn w:val="15"/>
    <w:link w:val="5"/>
    <w:qFormat/>
    <w:uiPriority w:val="0"/>
    <w:rPr>
      <w:rFonts w:eastAsia="仿宋_GB2312"/>
      <w:kern w:val="2"/>
      <w:sz w:val="21"/>
      <w:szCs w:val="24"/>
    </w:rPr>
  </w:style>
  <w:style w:type="character" w:customStyle="1" w:styleId="21">
    <w:name w:val="正文文本 字符"/>
    <w:basedOn w:val="15"/>
    <w:link w:val="6"/>
    <w:uiPriority w:val="0"/>
    <w:rPr>
      <w:rFonts w:eastAsia="仿宋_GB2312"/>
      <w:kern w:val="2"/>
      <w:sz w:val="21"/>
      <w:szCs w:val="24"/>
    </w:rPr>
  </w:style>
  <w:style w:type="character" w:customStyle="1" w:styleId="22">
    <w:name w:val="页脚 字符"/>
    <w:basedOn w:val="15"/>
    <w:link w:val="8"/>
    <w:qFormat/>
    <w:uiPriority w:val="0"/>
    <w:rPr>
      <w:rFonts w:ascii="Calibri" w:hAnsiTheme="minorHAnsi" w:eastAsiaTheme="minorEastAsia" w:cstheme="minorBidi"/>
      <w:kern w:val="2"/>
      <w:sz w:val="18"/>
      <w:szCs w:val="24"/>
    </w:rPr>
  </w:style>
  <w:style w:type="paragraph" w:customStyle="1" w:styleId="23">
    <w:name w:val="段"/>
    <w:qFormat/>
    <w:uiPriority w:val="0"/>
    <w:pPr>
      <w:tabs>
        <w:tab w:val="center" w:pos="4201"/>
        <w:tab w:val="right" w:leader="dot" w:pos="9298"/>
      </w:tabs>
      <w:autoSpaceDE w:val="0"/>
      <w:autoSpaceDN w:val="0"/>
      <w:ind w:firstLine="420"/>
      <w:jc w:val="both"/>
    </w:pPr>
    <w:rPr>
      <w:rFonts w:ascii="宋体" w:hAnsi="Times New Roman" w:eastAsia="宋体" w:cs="Times New Roman"/>
      <w:sz w:val="21"/>
      <w:lang w:val="en-US" w:eastAsia="zh-CN" w:bidi="ar-SA"/>
    </w:rPr>
  </w:style>
  <w:style w:type="paragraph" w:customStyle="1" w:styleId="2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5">
    <w:name w:val="终结线"/>
    <w:basedOn w:val="1"/>
    <w:qFormat/>
    <w:uiPriority w:val="0"/>
    <w:pPr>
      <w:framePr w:hSpace="181" w:vSpace="181" w:wrap="around" w:vAnchor="text" w:hAnchor="margin" w:xAlign="center" w:y="285"/>
    </w:pPr>
    <w:rPr>
      <w:rFonts w:ascii="Times New Roman" w:hAnsi="Times New Roman" w:eastAsia="仿宋_GB2312" w:cs="Times New Roman"/>
      <w:sz w:val="32"/>
    </w:rPr>
  </w:style>
  <w:style w:type="character" w:customStyle="1" w:styleId="26">
    <w:name w:val="页眉 字符"/>
    <w:basedOn w:val="15"/>
    <w:link w:val="9"/>
    <w:uiPriority w:val="99"/>
    <w:rPr>
      <w:rFonts w:ascii="DejaVu Sans" w:hAnsi="DejaVu Sans"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402</Characters>
  <Lines>3</Lines>
  <Paragraphs>1</Paragraphs>
  <TotalTime>69</TotalTime>
  <ScaleCrop>false</ScaleCrop>
  <LinksUpToDate>false</LinksUpToDate>
  <CharactersWithSpaces>471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2022-10-10T06:40:00Z</dcterms:created>
  <dc:creator>qinyao</dc:creator>
  <cp:lastModifiedBy>ZLaiyanm</cp:lastModifiedBy>
  <cp:lastPrinted>2022-10-10T06:41:00Z</cp:lastPrinted>
  <dcterms:modified xsi:type="dcterms:W3CDTF">2023-08-07T08:07:33Z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2B943B217B6C4BC88A8690258A4C1752_12</vt:lpwstr>
  </property>
</Properties>
</file>